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计划招聘岗位情况表</w:t>
      </w:r>
    </w:p>
    <w:tbl>
      <w:tblPr>
        <w:tblStyle w:val="5"/>
        <w:tblW w:w="156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897"/>
        <w:gridCol w:w="1058"/>
        <w:gridCol w:w="625"/>
        <w:gridCol w:w="3465"/>
        <w:gridCol w:w="719"/>
        <w:gridCol w:w="1292"/>
        <w:gridCol w:w="1053"/>
        <w:gridCol w:w="615"/>
        <w:gridCol w:w="54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Header/>
          <w:jc w:val="center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用人</w:t>
            </w:r>
          </w:p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w w:val="98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岗位</w:t>
            </w:r>
          </w:p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岗位</w:t>
            </w:r>
          </w:p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岗位简介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8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3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所需专业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学历</w:t>
            </w:r>
          </w:p>
          <w:p>
            <w:pPr>
              <w:pStyle w:val="8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  <w:highlight w:val="none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农用地生态环境监管技术部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农用地污染源头防控技术与政策研究岗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1.承担农用地污染源头防控相关政策研究；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承担农用地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土壤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重金属污染防治相关技术支撑工作；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.承担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农用地土壤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污染调查评估、治理修复等技术咨询与服务工作。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1-2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环境科学、环境工程、环境化学、土壤学、地理学等相关专业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全日制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（含2023年应届毕业生）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1.熟悉国内外土壤污染防治技术与政策，参与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农用地土壤污染调查、安全利用、矿山污染防治等相关项目者优先；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2.参与过国家级科研项目，以第一作者发表过5篇以上土壤污染相关高水平SCI文章者优先；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3.能熟练使用ArcGIS、SPSS等分析软件和工具；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4.责任心强，工作认真负责，科学态度严谨，具有较好的沟通、组织和协调能力，具有较好的团队协作意识和敬业精神；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5.年龄35周岁以下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1988年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月以后出生），具有高级职称或工作成果突出的可适当放宽年龄。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农用地生态环境监管技术部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农业面源污染防治技术与政策研究岗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-2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1.承担农业面源污染治理与监督指导相关政策研究；</w:t>
            </w:r>
          </w:p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2.承担农业面源污染调查监测、负荷评估、污染治理等技术咨询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服务工作；</w:t>
            </w:r>
          </w:p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3.承担农业面源污染防治相关技术支撑工作。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-2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生态学、环境科学等相关专业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</w:p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研究生及以上（含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年应届毕业生）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1.熟悉国内外农业面源污染防治技术与政策，参与过农业面源污染防治相关项目者优先；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2.具有较强的英语阅读和写作能力，参与过国家级科研项目，并发表高水平SCI论文者优先；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3.具有较强的数据处理和信息挖掘能力，能熟练使用ArcGIS、SPSS等软件，掌握R语言、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P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ython、面源污染模拟模型等相关经验者优先；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4.积极向上，工作认真负责，具有较好的沟通、组织和协调能力，具有较好的团队协作意识和敬业精神，身体健康，能适应野外工作；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7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5.年龄35周岁以下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1988年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月以后出生），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具有高级职称或工作成果突出的可适当放宽年龄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9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污染地块生态环境监管技术部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关闭搬迁企业地块土壤污染监管技术研究岗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1.承担</w:t>
            </w:r>
            <w:bookmarkStart w:id="0" w:name="_Hlk130226430"/>
            <w:r>
              <w:rPr>
                <w:rFonts w:hint="eastAsia" w:ascii="Times New Roman" w:hAnsi="Times New Roman" w:eastAsia="仿宋_GB2312" w:cs="Times New Roman"/>
              </w:rPr>
              <w:t>关闭搬迁企业地块土壤生态环境监管技术研究</w:t>
            </w:r>
            <w:bookmarkEnd w:id="0"/>
            <w:r>
              <w:rPr>
                <w:rFonts w:hint="eastAsia" w:ascii="Times New Roman" w:hAnsi="Times New Roman" w:eastAsia="仿宋_GB2312" w:cs="Times New Roman"/>
              </w:rPr>
              <w:t>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2.承担污染土壤风险管控技术研究和管理支撑；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  <w:r>
              <w:rPr>
                <w:rFonts w:ascii="Times New Roman" w:hAnsi="Times New Roman" w:eastAsia="仿宋_GB2312" w:cs="Times New Roman"/>
              </w:rPr>
              <w:t>.</w:t>
            </w:r>
            <w:r>
              <w:rPr>
                <w:rFonts w:hint="eastAsia" w:ascii="Times New Roman" w:hAnsi="Times New Roman" w:eastAsia="仿宋_GB2312" w:cs="Times New Roman"/>
              </w:rPr>
              <w:t>承担土壤污染状况调查和风险评估等工作。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环境、水文地质、化学、土壤等相关专业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全日制硕士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</w:rPr>
              <w:t>及以上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1.熟练使用CAD、ArcGIS、EXCEL等软件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</w:rPr>
              <w:t>具备良好的文字写作总结能力和英语听说读写能力，责任心强，工作认真负责，科学态度严谨，具有团队协作意识和敬业精神；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2.熟悉建设用地土壤污染状况调查、水文地质勘察、风险评估、风险管控等技术规范要求，参与过重大科研专项，具备建设用地土壤环境监管政策或技术标准、规范编制或研究经历者优先；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</w:rPr>
              <w:t>3.年龄35周岁以下（1988年3月以后出生）。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9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污染地块生态环境监管技术部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</w:rPr>
              <w:t>在产企业土壤污染监管技术研究岗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</w:rPr>
              <w:t>-2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1.承担在产企业排污许可管理研究和技术支撑；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2.承担在产企业土壤污染隐患排查与监测预警技术研究；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3.承担在产企业土壤污染源头防控、风险管控等技术研究。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1-2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环境、化工、土壤、地下水、水文地质等相关专业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全日制硕士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及以上（含2023年应届生）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1.具备良好的文字表达能力和一定的英语水平，责任心强，工作认真负责，科学态度严谨，具有较好的沟通、组织和协调能力，具有较好的团队协作意识和敬业精神；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0" w:lineRule="atLeas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</w:t>
            </w:r>
            <w:r>
              <w:rPr>
                <w:rFonts w:hint="eastAsia" w:ascii="Times New Roman" w:hAnsi="Times New Roman" w:eastAsia="仿宋_GB2312" w:cs="Times New Roman"/>
              </w:rPr>
              <w:t>有政策建议、专报编写</w:t>
            </w:r>
            <w:r>
              <w:rPr>
                <w:rFonts w:ascii="Times New Roman" w:hAnsi="Times New Roman" w:eastAsia="仿宋_GB2312" w:cs="Times New Roman"/>
              </w:rPr>
              <w:t>等工作</w:t>
            </w:r>
            <w:r>
              <w:rPr>
                <w:rFonts w:hint="eastAsia" w:ascii="Times New Roman" w:hAnsi="Times New Roman" w:eastAsia="仿宋_GB2312" w:cs="Times New Roman"/>
              </w:rPr>
              <w:t>经验，</w:t>
            </w:r>
            <w:r>
              <w:rPr>
                <w:rFonts w:ascii="Times New Roman" w:hAnsi="Times New Roman" w:eastAsia="仿宋_GB2312" w:cs="Times New Roman"/>
              </w:rPr>
              <w:t>熟悉环评、排污许可</w:t>
            </w:r>
            <w:r>
              <w:rPr>
                <w:rFonts w:hint="eastAsia" w:ascii="Times New Roman" w:hAnsi="Times New Roman" w:eastAsia="仿宋_GB2312" w:cs="Times New Roman"/>
              </w:rPr>
              <w:t>、污染地块管理</w:t>
            </w:r>
            <w:r>
              <w:rPr>
                <w:rFonts w:ascii="Times New Roman" w:hAnsi="Times New Roman" w:eastAsia="仿宋_GB2312" w:cs="Times New Roman"/>
              </w:rPr>
              <w:t>等相关政策，</w:t>
            </w:r>
            <w:r>
              <w:rPr>
                <w:rFonts w:hint="eastAsia" w:ascii="Times New Roman" w:hAnsi="Times New Roman" w:eastAsia="仿宋_GB2312" w:cs="Times New Roman"/>
              </w:rPr>
              <w:t>具有地下水污染风险管控与修复工程实施等</w:t>
            </w:r>
            <w:r>
              <w:rPr>
                <w:rFonts w:ascii="Times New Roman" w:hAnsi="Times New Roman" w:eastAsia="仿宋_GB2312" w:cs="Times New Roman"/>
              </w:rPr>
              <w:t>相关从业经历者优先；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  <w:r>
              <w:rPr>
                <w:rFonts w:ascii="Times New Roman" w:hAnsi="Times New Roman" w:eastAsia="仿宋_GB2312" w:cs="Times New Roman"/>
              </w:rPr>
              <w:t>.</w:t>
            </w:r>
            <w:r>
              <w:rPr>
                <w:rFonts w:hint="eastAsia" w:ascii="Times New Roman" w:hAnsi="Times New Roman" w:eastAsia="仿宋_GB2312" w:cs="Times New Roman"/>
              </w:rPr>
              <w:t>年龄40周岁以下（</w:t>
            </w:r>
            <w:r>
              <w:rPr>
                <w:rFonts w:ascii="Times New Roman" w:hAnsi="Times New Roman" w:eastAsia="仿宋_GB2312" w:cs="Times New Roman"/>
              </w:rPr>
              <w:t>198</w:t>
            </w:r>
            <w:r>
              <w:rPr>
                <w:rFonts w:hint="eastAsia" w:ascii="Times New Roman" w:hAnsi="Times New Roman" w:eastAsia="仿宋_GB2312" w:cs="Times New Roman"/>
              </w:rPr>
              <w:t>3</w:t>
            </w: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</w:rPr>
              <w:t>3</w:t>
            </w:r>
            <w:r>
              <w:rPr>
                <w:rFonts w:ascii="Times New Roman" w:hAnsi="Times New Roman" w:eastAsia="仿宋_GB2312" w:cs="Times New Roman"/>
              </w:rPr>
              <w:t>月以后出生</w:t>
            </w:r>
            <w:r>
              <w:rPr>
                <w:rFonts w:hint="eastAsia" w:ascii="Times New Roman" w:hAnsi="Times New Roman" w:eastAsia="仿宋_GB2312" w:cs="Times New Roman"/>
              </w:rPr>
              <w:t>）</w:t>
            </w:r>
            <w:r>
              <w:rPr>
                <w:rFonts w:ascii="Times New Roman" w:hAnsi="Times New Roman" w:eastAsia="仿宋_GB2312" w:cs="Times New Roma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农村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生态环境监管技术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农村生态环境保护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技术和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政策研究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3-1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主要从事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农村生活污水治理、黑臭水体整治、美丽乡村建设、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乡村生态振兴、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农业农村减污降碳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协同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增效的政策、规划、标准研究；开展农村生活污水治理、农村黑臭水体整治相关技术研究及工程设计、项目策划和实施方案编制；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开展土壤、水环境、微生物监测分析评价工作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1-2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环境科学、人口、资源与环境经济学、环境社会学、环境战略与规划、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管理类相关专业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pacing w:val="47"/>
                <w:sz w:val="24"/>
                <w:szCs w:val="24"/>
                <w:lang w:eastAsia="zh-CN"/>
              </w:rPr>
              <w:t>硕士研究生及以上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（含2023年应届生）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312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年龄35周岁以下（1988年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eastAsia="仿宋_GB2312" w:cs="宋体"/>
                <w:sz w:val="24"/>
                <w:szCs w:val="24"/>
                <w:lang w:val="en-US" w:eastAsia="zh-CN"/>
              </w:rPr>
              <w:t>以后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出生），大学英语六级水平；</w:t>
            </w:r>
          </w:p>
          <w:p>
            <w:pPr>
              <w:pStyle w:val="8"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val="en-US" w:eastAsia="zh-CN"/>
              </w:rPr>
              <w:t>2.具有高级职称者或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具有乡村生态振兴战略规划咨询实习或工作经验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val="en-US" w:eastAsia="zh-CN"/>
              </w:rPr>
              <w:t>优先；</w:t>
            </w:r>
          </w:p>
          <w:p>
            <w:pPr>
              <w:pStyle w:val="8"/>
              <w:tabs>
                <w:tab w:val="left" w:pos="312"/>
              </w:tabs>
              <w:spacing w:line="280" w:lineRule="exact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.具有国家和地方相关政策制定支撑工作经验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EOD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方案编制经验者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可适当放宽条件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具备工程咨询、勘察设计、建造、监理等注册执业资格者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val="en-US" w:eastAsia="zh-CN"/>
              </w:rPr>
              <w:t>或具有实验室管理或监测分析经验者可适当放宽条件</w:t>
            </w:r>
            <w:r>
              <w:rPr>
                <w:rFonts w:hint="eastAsia" w:eastAsia="仿宋_GB2312" w:cs="宋体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农村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生态环境监管技术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农村生态环境信息化监管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3-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开展农村生态环境信息化监管、数据挖掘等相关研究，支撑相关部委农村环境保护相关政策研究。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环境科学、环境工程、公共管理、土地资源管理、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生态学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pacing w:val="47"/>
                <w:sz w:val="24"/>
                <w:szCs w:val="24"/>
                <w:lang w:eastAsia="zh-CN"/>
              </w:rPr>
              <w:t>博士研究生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（含2023年应届生）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312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abs>
                <w:tab w:val="left" w:pos="312"/>
              </w:tabs>
              <w:spacing w:line="280" w:lineRule="exact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1.年龄35周岁以下（1988年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eastAsia="仿宋_GB2312" w:cs="宋体"/>
                <w:sz w:val="24"/>
                <w:szCs w:val="24"/>
                <w:lang w:val="en-US" w:eastAsia="zh-CN"/>
              </w:rPr>
              <w:t>以后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出生），大学英语六级水平；</w:t>
            </w:r>
          </w:p>
          <w:p>
            <w:pPr>
              <w:pStyle w:val="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有博士后工作经历，熟练使用Arc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GIS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、Python语言等软件以及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M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atlab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、SPSS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数据分析软件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者优先</w:t>
            </w:r>
            <w:r>
              <w:rPr>
                <w:rFonts w:hint="eastAsia" w:ascii="Times New Roman" w:hAnsi="Times New Roman" w:eastAsia="仿宋_GB2312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0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地下水生态环境监管技术部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地下水污染防治岗位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承担地下水污染防治规划、方案、政策等研究编制工作；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承担典型污染源地下水环境调查评估相关工作技术研究、指南编制及技术指导工作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承担地下水污染源渗漏排查、防渗改造、废弃井封井回填等源头预防政策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、技术研发、指南编制、方案编制等；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承担地下水污染风险管控与修复政策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、技术研发、指南编制、方案编制等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zh-TW" w:eastAsia="zh-TW"/>
              </w:rPr>
              <w:t>承担地下水环境监管平台建设、地下水应急管理等监管能力提升技术研发和管理支撑；地下水污染防治项目储备库技术支撑。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地下水科学与工程、环境工程、环境科学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水文地质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统计学、自然地理、计算机、大数据等相关专业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7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>无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具备良好的文字表达能力和一定的英语水平，责任心强，工作认真负责，科学态度严谨，具有团队意识和敬业精神</w:t>
            </w:r>
            <w:r>
              <w:rPr>
                <w:rFonts w:hint="eastAsia" w:eastAsia="仿宋_GB2312" w:cs="Times New Roman"/>
                <w:sz w:val="24"/>
                <w:szCs w:val="24"/>
                <w:lang w:val="zh-TW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具有组织或参与环境规划、政策和方案研究等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者</w:t>
            </w:r>
            <w:r>
              <w:rPr>
                <w:rFonts w:hint="eastAsia" w:eastAsia="仿宋_GB2312" w:cs="Times New Roman"/>
                <w:sz w:val="24"/>
                <w:szCs w:val="24"/>
                <w:lang w:val="zh-TW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组织或参与地下水环境状况调查评估工作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者</w:t>
            </w:r>
            <w:r>
              <w:rPr>
                <w:rFonts w:hint="eastAsia" w:eastAsia="仿宋_GB2312" w:cs="Times New Roman"/>
                <w:sz w:val="24"/>
                <w:szCs w:val="24"/>
                <w:lang w:val="zh-TW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组织或参与地下水污染源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渗漏排查、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防渗改造、废弃井封井回填项目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者</w:t>
            </w:r>
            <w:r>
              <w:rPr>
                <w:rFonts w:hint="eastAsia" w:eastAsia="仿宋_GB2312" w:cs="Times New Roman"/>
                <w:sz w:val="24"/>
                <w:szCs w:val="24"/>
                <w:lang w:val="zh-TW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组织或参与地下水污染风险管控与修复技术研发或项目经验者</w:t>
            </w:r>
            <w:r>
              <w:rPr>
                <w:rFonts w:hint="eastAsia" w:eastAsia="仿宋_GB2312" w:cs="Times New Roman"/>
                <w:sz w:val="24"/>
                <w:szCs w:val="24"/>
                <w:lang w:val="zh-TW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组织或参与地下水环境监测预警、地下水环境监管平台开发和地下水污染应急技术研发或项目经验者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发表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SCI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或期刊文章者优先</w:t>
            </w:r>
            <w:r>
              <w:rPr>
                <w:rFonts w:hint="eastAsia" w:eastAsia="仿宋_GB2312" w:cs="Times New Roman"/>
                <w:sz w:val="24"/>
                <w:szCs w:val="24"/>
                <w:lang w:val="zh-TW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TW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研究生包含本年度应届生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TW"/>
              </w:rPr>
              <w:t>，硕士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研究生须有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TW"/>
              </w:rPr>
              <w:t>2年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TW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TW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TW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1988年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月以后出生），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TW"/>
              </w:rPr>
              <w:t>具有高级职称者可适当放宽年龄。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ZDE1Y2Y4M2E2Y2RlY2EwMzViZDFjMTQ0YWFiNmQifQ=="/>
  </w:docVars>
  <w:rsids>
    <w:rsidRoot w:val="00000000"/>
    <w:rsid w:val="003C275D"/>
    <w:rsid w:val="00BC39D9"/>
    <w:rsid w:val="00FD30DA"/>
    <w:rsid w:val="05921EC7"/>
    <w:rsid w:val="05B20F4D"/>
    <w:rsid w:val="091B5BE2"/>
    <w:rsid w:val="0925014F"/>
    <w:rsid w:val="13857BE6"/>
    <w:rsid w:val="181254D5"/>
    <w:rsid w:val="1B5461E6"/>
    <w:rsid w:val="24DD1775"/>
    <w:rsid w:val="26AA7CF2"/>
    <w:rsid w:val="27BF157B"/>
    <w:rsid w:val="29475CCC"/>
    <w:rsid w:val="2CBE018C"/>
    <w:rsid w:val="31A729C2"/>
    <w:rsid w:val="370B18C5"/>
    <w:rsid w:val="38F566EC"/>
    <w:rsid w:val="3E3363C7"/>
    <w:rsid w:val="3EC250EE"/>
    <w:rsid w:val="3ED753F3"/>
    <w:rsid w:val="403B1563"/>
    <w:rsid w:val="43CB4D86"/>
    <w:rsid w:val="43E91A02"/>
    <w:rsid w:val="43F66C59"/>
    <w:rsid w:val="4A930919"/>
    <w:rsid w:val="5402548D"/>
    <w:rsid w:val="56BB3A4D"/>
    <w:rsid w:val="56CE7123"/>
    <w:rsid w:val="577A3B83"/>
    <w:rsid w:val="585267EB"/>
    <w:rsid w:val="5A04694A"/>
    <w:rsid w:val="5A69150A"/>
    <w:rsid w:val="5D3F4A3A"/>
    <w:rsid w:val="5DAB212C"/>
    <w:rsid w:val="5EBF155C"/>
    <w:rsid w:val="60841BD5"/>
    <w:rsid w:val="614104FA"/>
    <w:rsid w:val="64FA633D"/>
    <w:rsid w:val="666C483C"/>
    <w:rsid w:val="684D4DDB"/>
    <w:rsid w:val="6A52123E"/>
    <w:rsid w:val="6A5C1063"/>
    <w:rsid w:val="6B615DAB"/>
    <w:rsid w:val="6BAE5450"/>
    <w:rsid w:val="6D5628D2"/>
    <w:rsid w:val="6FAE0376"/>
    <w:rsid w:val="72FA2A34"/>
    <w:rsid w:val="735D38C3"/>
    <w:rsid w:val="771D1B7A"/>
    <w:rsid w:val="79841024"/>
    <w:rsid w:val="79EF706B"/>
    <w:rsid w:val="7A6C4902"/>
    <w:rsid w:val="7AD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2022-09-26T06:24:00Z</dcterms:created>
  <dc:creator>MR.Y</dc:creator>
  <cp:lastModifiedBy>于淼</cp:lastModifiedBy>
  <cp:lastPrinted>2023-03-27T02:12:00Z</cp:lastPrinted>
  <dcterms:modified xsi:type="dcterms:W3CDTF">2023-03-29T06:38:47Z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EB9693958B2F4A3A9153B803E717650C</vt:lpwstr>
  </property>
</Properties>
</file>